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4EED" w:rsidR="00696007" w:rsidP="12613FB8" w:rsidRDefault="4F4DB3C5" w14:paraId="2D73E5C7" w14:textId="74B56610">
      <w:pPr>
        <w:jc w:val="center"/>
        <w:rPr>
          <w:b/>
          <w:bCs/>
          <w:sz w:val="36"/>
          <w:szCs w:val="36"/>
          <w:lang w:val="es-MX"/>
        </w:rPr>
      </w:pPr>
      <w:r w:rsidRPr="00884EED">
        <w:rPr>
          <w:b/>
          <w:bCs/>
          <w:sz w:val="36"/>
          <w:szCs w:val="36"/>
          <w:lang w:val="es-MX"/>
        </w:rPr>
        <w:t>Economía circular desde casa: ¿</w:t>
      </w:r>
      <w:r w:rsidRPr="00884EED" w:rsidR="431F6887">
        <w:rPr>
          <w:b/>
          <w:bCs/>
          <w:sz w:val="36"/>
          <w:szCs w:val="36"/>
          <w:lang w:val="es-MX"/>
        </w:rPr>
        <w:t>C</w:t>
      </w:r>
      <w:r w:rsidRPr="00884EED" w:rsidR="3DFD397F">
        <w:rPr>
          <w:b/>
          <w:bCs/>
          <w:sz w:val="36"/>
          <w:szCs w:val="36"/>
          <w:lang w:val="es-MX"/>
        </w:rPr>
        <w:t>ó</w:t>
      </w:r>
      <w:r w:rsidRPr="00884EED">
        <w:rPr>
          <w:b/>
          <w:bCs/>
          <w:sz w:val="36"/>
          <w:szCs w:val="36"/>
          <w:lang w:val="es-MX"/>
        </w:rPr>
        <w:t>mo iniciar?</w:t>
      </w:r>
    </w:p>
    <w:p w:rsidR="00696007" w:rsidP="5F9BB6F4" w:rsidRDefault="4F4DB3C5" w14:paraId="67815439" w14:textId="36EAB3F0">
      <w:pPr>
        <w:jc w:val="both"/>
        <w:rPr>
          <w:lang w:val="es-MX"/>
        </w:rPr>
      </w:pPr>
      <w:r w:rsidRPr="26BBFEA3" w:rsidR="4F4DB3C5">
        <w:rPr>
          <w:lang w:val="es-MX"/>
        </w:rPr>
        <w:t xml:space="preserve">CIUDAD DE MÉXICO. </w:t>
      </w:r>
      <w:r w:rsidRPr="26BBFEA3" w:rsidR="6C7ECADA">
        <w:rPr>
          <w:lang w:val="es-MX"/>
        </w:rPr>
        <w:t>19 de marzo</w:t>
      </w:r>
      <w:r w:rsidRPr="26BBFEA3" w:rsidR="4F4DB3C5">
        <w:rPr>
          <w:lang w:val="es-MX"/>
        </w:rPr>
        <w:t xml:space="preserve"> de 2024.</w:t>
      </w:r>
      <w:r w:rsidRPr="26BBFEA3" w:rsidR="4F4DB3C5">
        <w:rPr>
          <w:lang w:val="es-MX"/>
        </w:rPr>
        <w:t xml:space="preserve">- La contaminación y la presencia de residuos representan una crisis apremiante qué resolver alrededor del mundo. De acuerdo con el </w:t>
      </w:r>
      <w:hyperlink r:id="R3aded558ce844736">
        <w:r w:rsidRPr="26BBFEA3" w:rsidR="4F4DB3C5">
          <w:rPr>
            <w:rStyle w:val="Hyperlink"/>
            <w:lang w:val="es-MX"/>
          </w:rPr>
          <w:t>Reporte Global de Riesgos 2024</w:t>
        </w:r>
      </w:hyperlink>
      <w:r w:rsidRPr="26BBFEA3" w:rsidR="4F4DB3C5">
        <w:rPr>
          <w:lang w:val="es-MX"/>
        </w:rPr>
        <w:t xml:space="preserve"> del Foro Económico Mundial, en colaboración con </w:t>
      </w:r>
      <w:r w:rsidRPr="26BBFEA3" w:rsidR="4F4DB3C5">
        <w:rPr>
          <w:lang w:val="es-MX"/>
        </w:rPr>
        <w:t>Zurich</w:t>
      </w:r>
      <w:r w:rsidRPr="26BBFEA3" w:rsidR="4F4DB3C5">
        <w:rPr>
          <w:lang w:val="es-MX"/>
        </w:rPr>
        <w:t xml:space="preserve"> </w:t>
      </w:r>
      <w:r w:rsidRPr="26BBFEA3" w:rsidR="4F4DB3C5">
        <w:rPr>
          <w:lang w:val="es-MX"/>
        </w:rPr>
        <w:t>Insurance</w:t>
      </w:r>
      <w:r w:rsidRPr="26BBFEA3" w:rsidR="4F4DB3C5">
        <w:rPr>
          <w:lang w:val="es-MX"/>
        </w:rPr>
        <w:t xml:space="preserve"> </w:t>
      </w:r>
      <w:r w:rsidRPr="26BBFEA3" w:rsidR="4F4DB3C5">
        <w:rPr>
          <w:lang w:val="es-MX"/>
        </w:rPr>
        <w:t>Group</w:t>
      </w:r>
      <w:r w:rsidRPr="26BBFEA3" w:rsidR="4F4DB3C5">
        <w:rPr>
          <w:lang w:val="es-MX"/>
        </w:rPr>
        <w:t xml:space="preserve"> y Marsh </w:t>
      </w:r>
      <w:r w:rsidRPr="26BBFEA3" w:rsidR="4F4DB3C5">
        <w:rPr>
          <w:lang w:val="es-MX"/>
        </w:rPr>
        <w:t>McLennan</w:t>
      </w:r>
      <w:r w:rsidRPr="26BBFEA3" w:rsidR="4F4DB3C5">
        <w:rPr>
          <w:lang w:val="es-MX"/>
        </w:rPr>
        <w:t>, la contaminación figura entre los 10 riesgos más graves que se perciben para la próxima década.</w:t>
      </w:r>
    </w:p>
    <w:p w:rsidR="00696007" w:rsidP="5F9BB6F4" w:rsidRDefault="4F4DB3C5" w14:paraId="7F5F334B" w14:textId="231DF95C">
      <w:pPr>
        <w:jc w:val="both"/>
        <w:rPr>
          <w:lang w:val="es-MX"/>
        </w:rPr>
      </w:pPr>
      <w:r w:rsidRPr="5F9BB6F4">
        <w:rPr>
          <w:lang w:val="es-MX"/>
        </w:rPr>
        <w:t xml:space="preserve">Actualmente en todo el mundo, según </w:t>
      </w:r>
      <w:bookmarkStart w:name="_Int_nmYPrZo0" w:id="0"/>
      <w:r w:rsidRPr="5F9BB6F4">
        <w:rPr>
          <w:lang w:val="es-MX"/>
        </w:rPr>
        <w:t>el</w:t>
      </w:r>
      <w:bookmarkEnd w:id="0"/>
      <w:r w:rsidRPr="5F9BB6F4">
        <w:rPr>
          <w:lang w:val="es-MX"/>
        </w:rPr>
        <w:t xml:space="preserve"> </w:t>
      </w:r>
      <w:hyperlink r:id="rId11">
        <w:r w:rsidRPr="5F9BB6F4">
          <w:rPr>
            <w:rStyle w:val="Hyperlink"/>
            <w:lang w:val="es-MX"/>
          </w:rPr>
          <w:t>Programa Ambiental de las Naciones Unidas,</w:t>
        </w:r>
      </w:hyperlink>
      <w:r w:rsidRPr="5F9BB6F4">
        <w:rPr>
          <w:lang w:val="es-MX"/>
        </w:rPr>
        <w:t xml:space="preserve"> se compran un millón de botellas de plástico cada minuto, mientras que se utilizan hasta cinco mil millones de bolsas de plástico. De ese total, la mitad es plástico diseñado para un solo uso y posteriormente se desecha; el </w:t>
      </w:r>
      <w:hyperlink r:id="rId12">
        <w:r w:rsidRPr="5F9BB6F4">
          <w:rPr>
            <w:rStyle w:val="Hyperlink"/>
            <w:lang w:val="es-MX"/>
          </w:rPr>
          <w:t>Banco Interamericano de Desarrollo</w:t>
        </w:r>
      </w:hyperlink>
      <w:r w:rsidRPr="5F9BB6F4">
        <w:rPr>
          <w:lang w:val="es-MX"/>
        </w:rPr>
        <w:t xml:space="preserve"> indica que solo el 6% de todo el plástico utilizado al año es reciclable y que más de 150 millones de toneladas de residuos se acumulan en los océanos y ríos del mundo. Además, esa cifra se incrementa en 11 millones de toneladas al año.</w:t>
      </w:r>
    </w:p>
    <w:p w:rsidR="00696007" w:rsidP="5F9BB6F4" w:rsidRDefault="4F4DB3C5" w14:paraId="44945E1C" w14:textId="1B278E79">
      <w:pPr>
        <w:jc w:val="both"/>
        <w:rPr>
          <w:lang w:val="es-MX"/>
        </w:rPr>
      </w:pPr>
      <w:r w:rsidRPr="5F9BB6F4">
        <w:rPr>
          <w:lang w:val="es-MX"/>
        </w:rPr>
        <w:t xml:space="preserve">Los niveles de consumo de plástico antes descritos, de acuerdo con Zurich México, conducen al mundo con mayor rapidez al cambio climático, </w:t>
      </w:r>
      <w:r w:rsidRPr="5F9BB6F4" w:rsidR="284D36A6">
        <w:rPr>
          <w:lang w:val="es-MX"/>
        </w:rPr>
        <w:t xml:space="preserve">lo </w:t>
      </w:r>
      <w:r w:rsidRPr="5F9BB6F4">
        <w:rPr>
          <w:lang w:val="es-MX"/>
        </w:rPr>
        <w:t xml:space="preserve">que pone en una posición de vulnerabilidad a la población e incrementa la probabilidad de catástrofes en los próximos dos años, según el reporte. Para mitigar dicho riesgo es importante que el cambio, además de que </w:t>
      </w:r>
      <w:bookmarkStart w:name="_Int_LU8wL3gy" w:id="1"/>
      <w:r w:rsidRPr="5F9BB6F4">
        <w:rPr>
          <w:lang w:val="es-MX"/>
        </w:rPr>
        <w:t>sea</w:t>
      </w:r>
      <w:bookmarkEnd w:id="1"/>
      <w:r w:rsidRPr="5F9BB6F4">
        <w:rPr>
          <w:lang w:val="es-MX"/>
        </w:rPr>
        <w:t xml:space="preserve"> impulsado por gobiernos, empresas y organizaciones sin fines de lucro, se detone con pequeños cambios de gran impacto en el comportamiento social.</w:t>
      </w:r>
    </w:p>
    <w:p w:rsidR="00696007" w:rsidP="5F9BB6F4" w:rsidRDefault="5311BB38" w14:paraId="43CDBAAF" w14:textId="70C052F3">
      <w:pPr>
        <w:jc w:val="both"/>
        <w:rPr>
          <w:lang w:val="es-MX"/>
        </w:rPr>
      </w:pPr>
      <w:r w:rsidRPr="5F9BB6F4">
        <w:rPr>
          <w:lang w:val="es-MX"/>
        </w:rPr>
        <w:t>La compañía explica que la economía circular es un modelo económico opuesto al tradicional sistema lineal de "fabricar, usar y desechar" para reducir la generación de residuos y aprovechar al máximo los recursos.</w:t>
      </w:r>
      <w:r w:rsidRPr="5F9BB6F4" w:rsidR="4F4DB3C5">
        <w:rPr>
          <w:lang w:val="es-MX"/>
        </w:rPr>
        <w:t xml:space="preserve"> Esto se logra mediante el reciclaje, la reutilización e incluso reparación de productos y materiales para extender su ciclo de vida.</w:t>
      </w:r>
    </w:p>
    <w:p w:rsidRPr="00884EED" w:rsidR="00884EED" w:rsidP="00884EED" w:rsidRDefault="00884EED" w14:paraId="26A3315B" w14:textId="77777777">
      <w:pPr>
        <w:rPr>
          <w:rStyle w:val="ui-provider"/>
          <w:lang w:val="es-MX"/>
        </w:rPr>
      </w:pPr>
      <w:r w:rsidRPr="00884EED">
        <w:rPr>
          <w:rStyle w:val="ui-provider"/>
          <w:i/>
          <w:iCs/>
          <w:lang w:val="es-MX"/>
        </w:rPr>
        <w:t>"La economía circular destaca como un enfoque que permite estimular el crecimiento económico y generar dinamismo sin comprometer al planeta, posicionándose como piedra angular para un futuro sostenible. Una de las claves para su éxito es la reutilización y renovación de artículos y materiales tantas veces como sea posible, cambiando la forma en que diseñamos, producimos y consumimos, basándose en tres principios: eliminar residuos y contaminación; mantener productos y materiales en uso, y contribuir a la regeneración de sistemas naturales"</w:t>
      </w:r>
      <w:r w:rsidRPr="00884EED">
        <w:rPr>
          <w:rStyle w:val="ui-provider"/>
          <w:lang w:val="es-MX"/>
        </w:rPr>
        <w:t>, señala Laila Abdala, Directora de Marketing, Cliente y Sustentabilidad de Zurich México.</w:t>
      </w:r>
    </w:p>
    <w:p w:rsidR="00696007" w:rsidP="5F9BB6F4" w:rsidRDefault="4F4DB3C5" w14:paraId="58A03D29" w14:textId="36919CA8">
      <w:pPr>
        <w:jc w:val="both"/>
        <w:rPr>
          <w:lang w:val="es-MX"/>
        </w:rPr>
      </w:pPr>
      <w:r w:rsidRPr="5F9BB6F4">
        <w:rPr>
          <w:lang w:val="es-MX"/>
        </w:rPr>
        <w:t xml:space="preserve">De acuerdo con la aseguradora, la economía circular tiene un impacto directo en la lucha contra el cambio climático y la prevención de residuos ya que al cambiar la forma en que producimos y usamos materiales como acero, cemento, aluminio y plástico, se podrían reducir las emisiones de gases de efecto invernadero provenientes de estas industrias hasta en </w:t>
      </w:r>
      <w:hyperlink r:id="rId13">
        <w:r w:rsidRPr="5F9BB6F4">
          <w:rPr>
            <w:rStyle w:val="Hyperlink"/>
            <w:lang w:val="es-MX"/>
          </w:rPr>
          <w:t>un 40% para 2050.</w:t>
        </w:r>
      </w:hyperlink>
    </w:p>
    <w:p w:rsidR="00696007" w:rsidP="5F9BB6F4" w:rsidRDefault="4F4DB3C5" w14:paraId="328B5632" w14:textId="225E283F">
      <w:pPr>
        <w:jc w:val="both"/>
        <w:rPr>
          <w:lang w:val="es-MX"/>
        </w:rPr>
      </w:pPr>
      <w:r w:rsidRPr="5F9BB6F4">
        <w:rPr>
          <w:lang w:val="es-MX"/>
        </w:rPr>
        <w:t xml:space="preserve">Esto además genera un impacto directo en la generación de empleos para recolectores y otros oficios relacionados con el reciclaje de plásticos. Estudios indican que en Latinoamérica la adopción de la economía circular puede generar un incremento neto de </w:t>
      </w:r>
      <w:hyperlink r:id="rId14">
        <w:r w:rsidRPr="5F9BB6F4">
          <w:rPr>
            <w:rStyle w:val="Hyperlink"/>
            <w:lang w:val="es-MX"/>
          </w:rPr>
          <w:t>4.8 millones</w:t>
        </w:r>
      </w:hyperlink>
      <w:r w:rsidRPr="5F9BB6F4">
        <w:rPr>
          <w:lang w:val="es-MX"/>
        </w:rPr>
        <w:t xml:space="preserve"> </w:t>
      </w:r>
      <w:bookmarkStart w:name="_Int_7X1WZwSk" w:id="2"/>
      <w:r w:rsidRPr="5F9BB6F4">
        <w:rPr>
          <w:lang w:val="es-MX"/>
        </w:rPr>
        <w:t>de</w:t>
      </w:r>
      <w:bookmarkEnd w:id="2"/>
      <w:r w:rsidRPr="5F9BB6F4">
        <w:rPr>
          <w:lang w:val="es-MX"/>
        </w:rPr>
        <w:t xml:space="preserve"> puestos de trabajo para toda la región.</w:t>
      </w:r>
    </w:p>
    <w:p w:rsidR="00696007" w:rsidP="5F9BB6F4" w:rsidRDefault="4F4DB3C5" w14:paraId="367FF2F0" w14:textId="2679C366">
      <w:pPr>
        <w:pStyle w:val="ListParagraph"/>
        <w:numPr>
          <w:ilvl w:val="0"/>
          <w:numId w:val="1"/>
        </w:numPr>
        <w:jc w:val="both"/>
        <w:rPr>
          <w:sz w:val="28"/>
          <w:szCs w:val="28"/>
          <w:lang w:val="es-MX"/>
        </w:rPr>
      </w:pPr>
      <w:r w:rsidRPr="5F9BB6F4">
        <w:rPr>
          <w:sz w:val="28"/>
          <w:szCs w:val="28"/>
          <w:lang w:val="es-MX"/>
        </w:rPr>
        <w:t>¿Cómo iniciar con ese cambio?</w:t>
      </w:r>
    </w:p>
    <w:p w:rsidR="00696007" w:rsidP="5F9BB6F4" w:rsidRDefault="4F4DB3C5" w14:paraId="11634DC2" w14:textId="4E3FEFD2">
      <w:pPr>
        <w:jc w:val="both"/>
        <w:rPr>
          <w:lang w:val="es-MX"/>
        </w:rPr>
      </w:pPr>
      <w:r w:rsidRPr="5F9BB6F4">
        <w:rPr>
          <w:lang w:val="es-MX"/>
        </w:rPr>
        <w:lastRenderedPageBreak/>
        <w:t xml:space="preserve"> </w:t>
      </w:r>
    </w:p>
    <w:p w:rsidR="00696007" w:rsidP="5F9BB6F4" w:rsidRDefault="4F4DB3C5" w14:paraId="7DC93360" w14:textId="4B67CC4C">
      <w:pPr>
        <w:jc w:val="both"/>
        <w:rPr>
          <w:lang w:val="es-MX"/>
        </w:rPr>
      </w:pPr>
      <w:r w:rsidRPr="5F9BB6F4">
        <w:rPr>
          <w:b/>
          <w:bCs/>
          <w:lang w:val="es-MX"/>
        </w:rPr>
        <w:t>1.</w:t>
      </w:r>
      <w:r w:rsidRPr="5F9BB6F4">
        <w:rPr>
          <w:lang w:val="es-MX"/>
        </w:rPr>
        <w:t xml:space="preserve"> </w:t>
      </w:r>
      <w:r w:rsidRPr="5F9BB6F4">
        <w:rPr>
          <w:b/>
          <w:bCs/>
          <w:lang w:val="es-MX"/>
        </w:rPr>
        <w:t xml:space="preserve">Reparar en lugar de reemplazar: </w:t>
      </w:r>
      <w:r w:rsidRPr="5F9BB6F4">
        <w:rPr>
          <w:lang w:val="es-MX"/>
        </w:rPr>
        <w:t>Antes de desechar un artículo dañado, es importante evaluar si puede ser reparado. Esto aplica para electrodomésticos, muebles, ropa y más. Buscar servicios de reparación locales no solo extiende la vida útil de los productos, sino que también apoya a negocios locales.</w:t>
      </w:r>
    </w:p>
    <w:p w:rsidR="00696007" w:rsidP="5F9BB6F4" w:rsidRDefault="4F4DB3C5" w14:paraId="1008D33A" w14:textId="59BA4606">
      <w:pPr>
        <w:jc w:val="both"/>
        <w:rPr>
          <w:lang w:val="es-MX"/>
        </w:rPr>
      </w:pPr>
      <w:r w:rsidRPr="5F9BB6F4">
        <w:rPr>
          <w:b/>
          <w:bCs/>
          <w:lang w:val="es-MX"/>
        </w:rPr>
        <w:t xml:space="preserve">2. Optar por productos con empaques reutilizables: </w:t>
      </w:r>
      <w:r w:rsidRPr="5F9BB6F4">
        <w:rPr>
          <w:lang w:val="es-MX"/>
        </w:rPr>
        <w:t>Muchas marcas están adoptando empaques que pueden ser devueltos, rellenados o reutilizados. Si los usuarios optan por estas opciones sobre productos de un solo uso, el cambio que generan día tras día se volverá significativo.</w:t>
      </w:r>
    </w:p>
    <w:p w:rsidR="00696007" w:rsidP="5F9BB6F4" w:rsidRDefault="4F4DB3C5" w14:paraId="0E4C43EE" w14:textId="2A42DE17">
      <w:pPr>
        <w:jc w:val="both"/>
        <w:rPr>
          <w:lang w:val="es-MX"/>
        </w:rPr>
      </w:pPr>
      <w:r w:rsidRPr="5F9BB6F4">
        <w:rPr>
          <w:b/>
          <w:bCs/>
          <w:lang w:val="es-MX"/>
        </w:rPr>
        <w:t>3. Compostaje en casa:</w:t>
      </w:r>
      <w:r w:rsidRPr="5F9BB6F4">
        <w:rPr>
          <w:lang w:val="es-MX"/>
        </w:rPr>
        <w:t xml:space="preserve"> Considerar la creación de un sistema de compostaje para residuos orgánicos reduce la cantidad de desechos que terminan en vertederos y proporciona un excelente fertilizante para plantas. </w:t>
      </w:r>
    </w:p>
    <w:p w:rsidR="00696007" w:rsidP="5F9BB6F4" w:rsidRDefault="5B8E5066" w14:paraId="4BFF3D62" w14:textId="2C27DA76">
      <w:pPr>
        <w:jc w:val="both"/>
        <w:rPr>
          <w:lang w:val="es-MX"/>
        </w:rPr>
      </w:pPr>
      <w:r w:rsidRPr="5F9BB6F4">
        <w:rPr>
          <w:b/>
          <w:bCs/>
          <w:lang w:val="es-MX"/>
        </w:rPr>
        <w:t>4</w:t>
      </w:r>
      <w:r w:rsidRPr="5F9BB6F4" w:rsidR="4F4DB3C5">
        <w:rPr>
          <w:b/>
          <w:bCs/>
          <w:lang w:val="es-MX"/>
        </w:rPr>
        <w:t xml:space="preserve">. Educación y concienciación: </w:t>
      </w:r>
      <w:r w:rsidRPr="5F9BB6F4" w:rsidR="4F4DB3C5">
        <w:rPr>
          <w:lang w:val="es-MX"/>
        </w:rPr>
        <w:t xml:space="preserve">Es clave que los usuarios generen una cultura basada en la </w:t>
      </w:r>
      <w:r w:rsidRPr="5F9BB6F4" w:rsidR="66F21BD7">
        <w:rPr>
          <w:lang w:val="es-MX"/>
        </w:rPr>
        <w:t>concientización</w:t>
      </w:r>
      <w:r w:rsidRPr="5F9BB6F4" w:rsidR="4F4DB3C5">
        <w:rPr>
          <w:lang w:val="es-MX"/>
        </w:rPr>
        <w:t xml:space="preserve"> familiar con respecto a la reutilización. Al saber el impacto que genera el cambio hacia la economía circular, los usuarios podrán replantearse con mayor claridad sus hábitos de consumo, incluso optar por fomentar la compra y venta de artículos de segunda mano, y generar un esquema de reutilización más dinámico.</w:t>
      </w:r>
    </w:p>
    <w:p w:rsidR="00696007" w:rsidP="5F9BB6F4" w:rsidRDefault="4F4DB3C5" w14:paraId="2C078E63" w14:textId="7FD8C0BA">
      <w:pPr>
        <w:jc w:val="both"/>
        <w:rPr>
          <w:lang w:val="es-MX"/>
        </w:rPr>
      </w:pPr>
      <w:r w:rsidRPr="5F9BB6F4">
        <w:rPr>
          <w:lang w:val="es-MX"/>
        </w:rPr>
        <w:t>Iniciar el cambio hacia una economía circular desde casa es un paso crucial y alcanzable para todos. Al adoptar estos consejos prácticos, no solo se contribuye a un ambiente más sano y sostenible, sino también se impulsa un cambio positivo en la economía.</w:t>
      </w:r>
    </w:p>
    <w:p w:rsidRPr="00884EED" w:rsidR="12613FB8" w:rsidP="12613FB8" w:rsidRDefault="12613FB8" w14:paraId="613FAAA3" w14:textId="14ACD114">
      <w:pPr>
        <w:jc w:val="both"/>
        <w:rPr>
          <w:lang w:val="es-MX"/>
        </w:rPr>
      </w:pPr>
    </w:p>
    <w:p w:rsidRPr="00884EED" w:rsidR="67B2AB64" w:rsidP="12613FB8" w:rsidRDefault="67B2AB64" w14:paraId="2E61FFA6" w14:textId="160EE365">
      <w:pPr>
        <w:spacing w:after="0"/>
        <w:jc w:val="center"/>
        <w:rPr>
          <w:rFonts w:ascii="Arial" w:hAnsi="Arial" w:eastAsia="Arial" w:cs="Arial"/>
          <w:color w:val="000000" w:themeColor="text1"/>
          <w:sz w:val="24"/>
          <w:szCs w:val="24"/>
          <w:lang w:val="es-MX"/>
        </w:rPr>
      </w:pPr>
      <w:r w:rsidRPr="12613FB8">
        <w:rPr>
          <w:rFonts w:ascii="Arial" w:hAnsi="Arial" w:eastAsia="Arial" w:cs="Arial"/>
          <w:color w:val="000000" w:themeColor="text1"/>
          <w:sz w:val="24"/>
          <w:szCs w:val="24"/>
          <w:lang w:val="es-ES"/>
        </w:rPr>
        <w:t>-o0o-</w:t>
      </w:r>
    </w:p>
    <w:p w:rsidRPr="00884EED" w:rsidR="12613FB8" w:rsidP="12613FB8" w:rsidRDefault="12613FB8" w14:paraId="56261181" w14:textId="262B5EAD">
      <w:pPr>
        <w:rPr>
          <w:rFonts w:ascii="Calibri" w:hAnsi="Calibri" w:eastAsia="Calibri" w:cs="Calibri"/>
          <w:color w:val="000000" w:themeColor="text1"/>
          <w:lang w:val="es-MX"/>
        </w:rPr>
      </w:pPr>
    </w:p>
    <w:p w:rsidRPr="00884EED" w:rsidR="67B2AB64" w:rsidP="12613FB8" w:rsidRDefault="67B2AB64" w14:paraId="5177EBA1" w14:textId="4D323730">
      <w:pPr>
        <w:spacing w:after="0"/>
        <w:jc w:val="both"/>
        <w:rPr>
          <w:rFonts w:ascii="Arial" w:hAnsi="Arial" w:eastAsia="Arial" w:cs="Arial"/>
          <w:color w:val="000000" w:themeColor="text1"/>
          <w:sz w:val="18"/>
          <w:szCs w:val="18"/>
          <w:lang w:val="es-MX"/>
        </w:rPr>
      </w:pPr>
      <w:r w:rsidRPr="12613FB8">
        <w:rPr>
          <w:rFonts w:ascii="Arial" w:hAnsi="Arial" w:eastAsia="Arial" w:cs="Arial"/>
          <w:b/>
          <w:bCs/>
          <w:color w:val="000000" w:themeColor="text1"/>
          <w:sz w:val="18"/>
          <w:szCs w:val="18"/>
          <w:lang w:val="es-ES"/>
        </w:rPr>
        <w:t>Acerca de Zurich</w:t>
      </w:r>
    </w:p>
    <w:p w:rsidRPr="00884EED" w:rsidR="67B2AB64" w:rsidP="12613FB8" w:rsidRDefault="67B2AB64" w14:paraId="63CCF92C" w14:textId="558372B9">
      <w:pPr>
        <w:spacing w:after="0"/>
        <w:jc w:val="both"/>
        <w:rPr>
          <w:rFonts w:ascii="Arial" w:hAnsi="Arial" w:eastAsia="Arial" w:cs="Arial"/>
          <w:color w:val="000000" w:themeColor="text1"/>
          <w:sz w:val="18"/>
          <w:szCs w:val="18"/>
          <w:lang w:val="es-MX"/>
        </w:rPr>
      </w:pPr>
      <w:r w:rsidRPr="12613FB8">
        <w:rPr>
          <w:rFonts w:ascii="Arial" w:hAnsi="Arial" w:eastAsia="Arial" w:cs="Arial"/>
          <w:color w:val="000000" w:themeColor="text1"/>
          <w:sz w:val="18"/>
          <w:szCs w:val="18"/>
          <w:lang w:val="es-ES"/>
        </w:rPr>
        <w:t xml:space="preserve">Zurich </w:t>
      </w:r>
      <w:proofErr w:type="spellStart"/>
      <w:r w:rsidRPr="12613FB8">
        <w:rPr>
          <w:rFonts w:ascii="Arial" w:hAnsi="Arial" w:eastAsia="Arial" w:cs="Arial"/>
          <w:color w:val="000000" w:themeColor="text1"/>
          <w:sz w:val="18"/>
          <w:szCs w:val="18"/>
          <w:lang w:val="es-ES"/>
        </w:rPr>
        <w:t>Insurance</w:t>
      </w:r>
      <w:proofErr w:type="spellEnd"/>
      <w:r w:rsidRPr="12613FB8">
        <w:rPr>
          <w:rFonts w:ascii="Arial" w:hAnsi="Arial" w:eastAsia="Arial" w:cs="Arial"/>
          <w:color w:val="000000" w:themeColor="text1"/>
          <w:sz w:val="18"/>
          <w:szCs w:val="18"/>
          <w:lang w:val="es-ES"/>
        </w:rPr>
        <w:t xml:space="preserve"> </w:t>
      </w:r>
      <w:proofErr w:type="spellStart"/>
      <w:r w:rsidRPr="12613FB8">
        <w:rPr>
          <w:rFonts w:ascii="Arial" w:hAnsi="Arial" w:eastAsia="Arial" w:cs="Arial"/>
          <w:color w:val="000000" w:themeColor="text1"/>
          <w:sz w:val="18"/>
          <w:szCs w:val="18"/>
          <w:lang w:val="es-ES"/>
        </w:rPr>
        <w:t>Group</w:t>
      </w:r>
      <w:proofErr w:type="spellEnd"/>
      <w:r w:rsidRPr="12613FB8">
        <w:rPr>
          <w:rFonts w:ascii="Arial" w:hAnsi="Arial" w:eastAsia="Arial" w:cs="Arial"/>
          <w:color w:val="000000" w:themeColor="text1"/>
          <w:sz w:val="18"/>
          <w:szCs w:val="18"/>
          <w:lang w:val="es-ES"/>
        </w:rPr>
        <w:t xml:space="preserve"> (Zurich) es una aseguradora líder multicanal que se especializa en gestión y prevención de riesgos. Zurich atiende tanto a personas como a empresas en más de 200 países y territorios. Fundada hace 150 años, Zurich está transformando los seguros ya que ofrece cada vez más servicios de prevención, como aquellos que promueven el bienestar y mejoran la resiliencia climática. Reflejando su propósito de “crear juntos un futuro mejor”, Zurich aspira a ser una de las empresas más responsables y de mayor impacto en el mundo. Tiene como objetivo emisiones netas cero para 2050, y tiene la calificación ESG más alta posible de MSCI. El Grupo Zurich tiene alrededor de 60,000 empleados y tiene su sede en Zurich, Suiza. </w:t>
      </w:r>
    </w:p>
    <w:p w:rsidRPr="00884EED" w:rsidR="12613FB8" w:rsidP="12613FB8" w:rsidRDefault="12613FB8" w14:paraId="2F7220C5" w14:textId="42046832">
      <w:pPr>
        <w:rPr>
          <w:rFonts w:ascii="Calibri" w:hAnsi="Calibri" w:eastAsia="Calibri" w:cs="Calibri"/>
          <w:color w:val="000000" w:themeColor="text1"/>
          <w:lang w:val="es-MX"/>
        </w:rPr>
      </w:pPr>
    </w:p>
    <w:p w:rsidRPr="00884EED" w:rsidR="67B2AB64" w:rsidP="12613FB8" w:rsidRDefault="67B2AB64" w14:paraId="245591AB" w14:textId="3412AAC9">
      <w:pPr>
        <w:spacing w:after="0"/>
        <w:jc w:val="both"/>
        <w:rPr>
          <w:rFonts w:ascii="Arial" w:hAnsi="Arial" w:eastAsia="Arial" w:cs="Arial"/>
          <w:color w:val="000000" w:themeColor="text1"/>
          <w:sz w:val="18"/>
          <w:szCs w:val="18"/>
          <w:lang w:val="es-MX"/>
        </w:rPr>
      </w:pPr>
      <w:r w:rsidRPr="12613FB8">
        <w:rPr>
          <w:rFonts w:ascii="Arial" w:hAnsi="Arial" w:eastAsia="Arial" w:cs="Arial"/>
          <w:color w:val="000000" w:themeColor="text1"/>
          <w:sz w:val="18"/>
          <w:szCs w:val="18"/>
          <w:lang w:val="es-ES"/>
        </w:rPr>
        <w:t xml:space="preserve">Como empresa especializada en seguros de autos, entre otras verticales, Zurich cuenta con diferentes opciones, coberturas y asistencias para cubrir las necesidades de cada usuario. Para conocer más sobre la cartera de productos de Zurich y sobre esta alianza, visita: </w:t>
      </w:r>
      <w:hyperlink r:id="rId15">
        <w:r w:rsidRPr="12613FB8">
          <w:rPr>
            <w:rStyle w:val="Hyperlink"/>
            <w:rFonts w:ascii="Arial" w:hAnsi="Arial" w:eastAsia="Arial" w:cs="Arial"/>
            <w:sz w:val="18"/>
            <w:szCs w:val="18"/>
            <w:lang w:val="es-ES"/>
          </w:rPr>
          <w:t>https://www.zurich.com.mx/es-mx</w:t>
        </w:r>
      </w:hyperlink>
      <w:r w:rsidRPr="12613FB8">
        <w:rPr>
          <w:rFonts w:ascii="Arial" w:hAnsi="Arial" w:eastAsia="Arial" w:cs="Arial"/>
          <w:color w:val="000000" w:themeColor="text1"/>
          <w:sz w:val="18"/>
          <w:szCs w:val="18"/>
          <w:lang w:val="es-ES"/>
        </w:rPr>
        <w:t xml:space="preserve"> </w:t>
      </w:r>
    </w:p>
    <w:p w:rsidRPr="00884EED" w:rsidR="12613FB8" w:rsidP="12613FB8" w:rsidRDefault="12613FB8" w14:paraId="5952944E" w14:textId="47A607E0">
      <w:pPr>
        <w:rPr>
          <w:rFonts w:ascii="Calibri" w:hAnsi="Calibri" w:eastAsia="Calibri" w:cs="Calibri"/>
          <w:color w:val="000000" w:themeColor="text1"/>
          <w:lang w:val="es-MX"/>
        </w:rPr>
      </w:pPr>
    </w:p>
    <w:p w:rsidRPr="00884EED" w:rsidR="12613FB8" w:rsidP="12613FB8" w:rsidRDefault="12613FB8" w14:paraId="2F8CC99E" w14:textId="2D61EAA4">
      <w:pPr>
        <w:rPr>
          <w:rFonts w:ascii="Calibri" w:hAnsi="Calibri" w:eastAsia="Calibri" w:cs="Calibri"/>
          <w:color w:val="000000" w:themeColor="text1"/>
          <w:lang w:val="es-MX"/>
        </w:rPr>
      </w:pPr>
    </w:p>
    <w:p w:rsidRPr="00884EED" w:rsidR="12613FB8" w:rsidP="12613FB8" w:rsidRDefault="12613FB8" w14:paraId="30F5645B" w14:textId="7DAFF864">
      <w:pPr>
        <w:jc w:val="both"/>
        <w:rPr>
          <w:lang w:val="es-MX"/>
        </w:rPr>
      </w:pPr>
    </w:p>
    <w:sectPr w:rsidRPr="00884EED" w:rsidR="12613FB8">
      <w:headerReference w:type="default" r:id="rId16"/>
      <w:footerReference w:type="even" r:id="rId17"/>
      <w:footerReference w:type="default" r:id="rId18"/>
      <w:footerReference w:type="firs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6D2" w:rsidRDefault="00CE76D2" w14:paraId="524B90CE" w14:textId="77777777">
      <w:pPr>
        <w:spacing w:after="0" w:line="240" w:lineRule="auto"/>
      </w:pPr>
      <w:r>
        <w:separator/>
      </w:r>
    </w:p>
  </w:endnote>
  <w:endnote w:type="continuationSeparator" w:id="0">
    <w:p w:rsidR="00CE76D2" w:rsidRDefault="00CE76D2" w14:paraId="504CCB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467D" w:rsidRDefault="0084467D" w14:paraId="3882849C" w14:textId="4FE682ED">
    <w:pPr>
      <w:pStyle w:val="Footer"/>
    </w:pPr>
    <w:r>
      <w:rPr>
        <w:noProof/>
      </w:rPr>
      <mc:AlternateContent>
        <mc:Choice Requires="wps">
          <w:drawing>
            <wp:anchor distT="0" distB="0" distL="0" distR="0" simplePos="0" relativeHeight="251659264" behindDoc="0" locked="0" layoutInCell="1" allowOverlap="1" wp14:anchorId="593994DD" wp14:editId="1FC22B06">
              <wp:simplePos x="635" y="635"/>
              <wp:positionH relativeFrom="page">
                <wp:align>left</wp:align>
              </wp:positionH>
              <wp:positionV relativeFrom="page">
                <wp:align>bottom</wp:align>
              </wp:positionV>
              <wp:extent cx="443865" cy="443865"/>
              <wp:effectExtent l="0" t="0" r="3810" b="0"/>
              <wp:wrapNone/>
              <wp:docPr id="2" name="Text Box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467D" w:rsidR="0084467D" w:rsidP="0084467D" w:rsidRDefault="0084467D" w14:paraId="0697DAFA" w14:textId="0AB86B83">
                          <w:pPr>
                            <w:spacing w:after="0"/>
                            <w:rPr>
                              <w:rFonts w:ascii="Calibri" w:hAnsi="Calibri" w:eastAsia="Calibri" w:cs="Calibri"/>
                              <w:noProof/>
                              <w:color w:val="000000"/>
                              <w:sz w:val="20"/>
                              <w:szCs w:val="20"/>
                            </w:rPr>
                          </w:pPr>
                          <w:r w:rsidRPr="0084467D">
                            <w:rPr>
                              <w:rFonts w:ascii="Calibri" w:hAnsi="Calibri" w:eastAsia="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93994DD">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USE 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84467D" w:rsidR="0084467D" w:rsidP="0084467D" w:rsidRDefault="0084467D" w14:paraId="0697DAFA" w14:textId="0AB86B83">
                    <w:pPr>
                      <w:spacing w:after="0"/>
                      <w:rPr>
                        <w:rFonts w:ascii="Calibri" w:hAnsi="Calibri" w:eastAsia="Calibri" w:cs="Calibri"/>
                        <w:noProof/>
                        <w:color w:val="000000"/>
                        <w:sz w:val="20"/>
                        <w:szCs w:val="20"/>
                      </w:rPr>
                    </w:pPr>
                    <w:r w:rsidRPr="0084467D">
                      <w:rPr>
                        <w:rFonts w:ascii="Calibri" w:hAnsi="Calibri" w:eastAsia="Calibri" w:cs="Calibri"/>
                        <w:noProof/>
                        <w:color w:val="000000"/>
                        <w:sz w:val="20"/>
                        <w:szCs w:val="20"/>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613FB8" w:rsidTr="12613FB8" w14:paraId="5269AFA2" w14:textId="77777777">
      <w:trPr>
        <w:trHeight w:val="300"/>
      </w:trPr>
      <w:tc>
        <w:tcPr>
          <w:tcW w:w="3120" w:type="dxa"/>
        </w:tcPr>
        <w:p w:rsidR="12613FB8" w:rsidP="12613FB8" w:rsidRDefault="0084467D" w14:paraId="0355A747" w14:textId="55F3292E">
          <w:pPr>
            <w:pStyle w:val="Header"/>
            <w:ind w:left="-115"/>
          </w:pPr>
          <w:r>
            <w:rPr>
              <w:noProof/>
            </w:rPr>
            <mc:AlternateContent>
              <mc:Choice Requires="wps">
                <w:drawing>
                  <wp:anchor distT="0" distB="0" distL="0" distR="0" simplePos="0" relativeHeight="251660288" behindDoc="0" locked="0" layoutInCell="1" allowOverlap="1" wp14:anchorId="6C7FAA71" wp14:editId="7E31ABC0">
                    <wp:simplePos x="984250" y="9239250"/>
                    <wp:positionH relativeFrom="page">
                      <wp:align>left</wp:align>
                    </wp:positionH>
                    <wp:positionV relativeFrom="page">
                      <wp:align>bottom</wp:align>
                    </wp:positionV>
                    <wp:extent cx="443865" cy="443865"/>
                    <wp:effectExtent l="0" t="0" r="3810" b="0"/>
                    <wp:wrapNone/>
                    <wp:docPr id="3" name="Text Box 3"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467D" w:rsidR="0084467D" w:rsidP="0084467D" w:rsidRDefault="0084467D" w14:paraId="451B27D3" w14:textId="3DD3A969">
                                <w:pPr>
                                  <w:spacing w:after="0"/>
                                  <w:rPr>
                                    <w:rFonts w:ascii="Calibri" w:hAnsi="Calibri" w:eastAsia="Calibri" w:cs="Calibri"/>
                                    <w:noProof/>
                                    <w:color w:val="000000"/>
                                    <w:sz w:val="20"/>
                                    <w:szCs w:val="20"/>
                                  </w:rPr>
                                </w:pPr>
                                <w:r w:rsidRPr="0084467D">
                                  <w:rPr>
                                    <w:rFonts w:ascii="Calibri" w:hAnsi="Calibri" w:eastAsia="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C7FAA71">
                    <v:stroke joinstyle="miter"/>
                    <v:path gradientshapeok="t" o:connecttype="rect"/>
                  </v:shapetype>
                  <v:shape id="Text Box 3"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USE 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84467D" w:rsidR="0084467D" w:rsidP="0084467D" w:rsidRDefault="0084467D" w14:paraId="451B27D3" w14:textId="3DD3A969">
                          <w:pPr>
                            <w:spacing w:after="0"/>
                            <w:rPr>
                              <w:rFonts w:ascii="Calibri" w:hAnsi="Calibri" w:eastAsia="Calibri" w:cs="Calibri"/>
                              <w:noProof/>
                              <w:color w:val="000000"/>
                              <w:sz w:val="20"/>
                              <w:szCs w:val="20"/>
                            </w:rPr>
                          </w:pPr>
                          <w:r w:rsidRPr="0084467D">
                            <w:rPr>
                              <w:rFonts w:ascii="Calibri" w:hAnsi="Calibri" w:eastAsia="Calibri" w:cs="Calibri"/>
                              <w:noProof/>
                              <w:color w:val="000000"/>
                              <w:sz w:val="20"/>
                              <w:szCs w:val="20"/>
                            </w:rPr>
                            <w:t>INTERNAL USE ONLY</w:t>
                          </w:r>
                        </w:p>
                      </w:txbxContent>
                    </v:textbox>
                    <w10:wrap anchorx="page" anchory="page"/>
                  </v:shape>
                </w:pict>
              </mc:Fallback>
            </mc:AlternateContent>
          </w:r>
        </w:p>
      </w:tc>
      <w:tc>
        <w:tcPr>
          <w:tcW w:w="3120" w:type="dxa"/>
        </w:tcPr>
        <w:p w:rsidR="12613FB8" w:rsidP="12613FB8" w:rsidRDefault="12613FB8" w14:paraId="7BC88381" w14:textId="5C1FCC62">
          <w:pPr>
            <w:pStyle w:val="Header"/>
            <w:jc w:val="center"/>
          </w:pPr>
        </w:p>
      </w:tc>
      <w:tc>
        <w:tcPr>
          <w:tcW w:w="3120" w:type="dxa"/>
        </w:tcPr>
        <w:p w:rsidR="12613FB8" w:rsidP="12613FB8" w:rsidRDefault="12613FB8" w14:paraId="725217D3" w14:textId="45EEF2E0">
          <w:pPr>
            <w:pStyle w:val="Header"/>
            <w:ind w:right="-115"/>
            <w:jc w:val="right"/>
          </w:pPr>
        </w:p>
      </w:tc>
    </w:tr>
  </w:tbl>
  <w:p w:rsidR="12613FB8" w:rsidP="12613FB8" w:rsidRDefault="12613FB8" w14:paraId="5CC1DB6D" w14:textId="1DF6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467D" w:rsidRDefault="0084467D" w14:paraId="1A090AC0" w14:textId="44327AD5">
    <w:pPr>
      <w:pStyle w:val="Footer"/>
    </w:pPr>
    <w:r>
      <w:rPr>
        <w:noProof/>
      </w:rPr>
      <mc:AlternateContent>
        <mc:Choice Requires="wps">
          <w:drawing>
            <wp:anchor distT="0" distB="0" distL="0" distR="0" simplePos="0" relativeHeight="251658240" behindDoc="0" locked="0" layoutInCell="1" allowOverlap="1" wp14:anchorId="5F9F0F0A" wp14:editId="35F846CC">
              <wp:simplePos x="635" y="635"/>
              <wp:positionH relativeFrom="page">
                <wp:align>left</wp:align>
              </wp:positionH>
              <wp:positionV relativeFrom="page">
                <wp:align>bottom</wp:align>
              </wp:positionV>
              <wp:extent cx="443865" cy="443865"/>
              <wp:effectExtent l="0" t="0" r="3810" b="0"/>
              <wp:wrapNone/>
              <wp:docPr id="1" name="Text Box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467D" w:rsidR="0084467D" w:rsidP="0084467D" w:rsidRDefault="0084467D" w14:paraId="605257DB" w14:textId="52015F33">
                          <w:pPr>
                            <w:spacing w:after="0"/>
                            <w:rPr>
                              <w:rFonts w:ascii="Calibri" w:hAnsi="Calibri" w:eastAsia="Calibri" w:cs="Calibri"/>
                              <w:noProof/>
                              <w:color w:val="000000"/>
                              <w:sz w:val="20"/>
                              <w:szCs w:val="20"/>
                            </w:rPr>
                          </w:pPr>
                          <w:r w:rsidRPr="0084467D">
                            <w:rPr>
                              <w:rFonts w:ascii="Calibri" w:hAnsi="Calibri" w:eastAsia="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F9F0F0A">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USE ONLY"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84467D" w:rsidR="0084467D" w:rsidP="0084467D" w:rsidRDefault="0084467D" w14:paraId="605257DB" w14:textId="52015F33">
                    <w:pPr>
                      <w:spacing w:after="0"/>
                      <w:rPr>
                        <w:rFonts w:ascii="Calibri" w:hAnsi="Calibri" w:eastAsia="Calibri" w:cs="Calibri"/>
                        <w:noProof/>
                        <w:color w:val="000000"/>
                        <w:sz w:val="20"/>
                        <w:szCs w:val="20"/>
                      </w:rPr>
                    </w:pPr>
                    <w:r w:rsidRPr="0084467D">
                      <w:rPr>
                        <w:rFonts w:ascii="Calibri" w:hAnsi="Calibri" w:eastAsia="Calibri" w:cs="Calibri"/>
                        <w:noProof/>
                        <w:color w:val="000000"/>
                        <w:sz w:val="20"/>
                        <w:szCs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6D2" w:rsidRDefault="00CE76D2" w14:paraId="350E1FBF" w14:textId="77777777">
      <w:pPr>
        <w:spacing w:after="0" w:line="240" w:lineRule="auto"/>
      </w:pPr>
      <w:r>
        <w:separator/>
      </w:r>
    </w:p>
  </w:footnote>
  <w:footnote w:type="continuationSeparator" w:id="0">
    <w:p w:rsidR="00CE76D2" w:rsidRDefault="00CE76D2" w14:paraId="586EBF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613FB8" w:rsidTr="12613FB8" w14:paraId="768A7C24" w14:textId="77777777">
      <w:trPr>
        <w:trHeight w:val="300"/>
      </w:trPr>
      <w:tc>
        <w:tcPr>
          <w:tcW w:w="3120" w:type="dxa"/>
        </w:tcPr>
        <w:p w:rsidR="12613FB8" w:rsidP="12613FB8" w:rsidRDefault="12613FB8" w14:paraId="63F9E4FB" w14:textId="61795B13">
          <w:pPr>
            <w:pStyle w:val="Header"/>
            <w:ind w:left="-115"/>
          </w:pPr>
          <w:r>
            <w:rPr>
              <w:noProof/>
            </w:rPr>
            <w:drawing>
              <wp:inline distT="0" distB="0" distL="0" distR="0" wp14:anchorId="3275C850" wp14:editId="2952A736">
                <wp:extent cx="1571625" cy="371475"/>
                <wp:effectExtent l="0" t="0" r="0" b="0"/>
                <wp:docPr id="1443906425" name="Picture 1443906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371475"/>
                        </a:xfrm>
                        <a:prstGeom prst="rect">
                          <a:avLst/>
                        </a:prstGeom>
                      </pic:spPr>
                    </pic:pic>
                  </a:graphicData>
                </a:graphic>
              </wp:inline>
            </w:drawing>
          </w:r>
          <w:r>
            <w:br/>
          </w:r>
        </w:p>
      </w:tc>
      <w:tc>
        <w:tcPr>
          <w:tcW w:w="3120" w:type="dxa"/>
        </w:tcPr>
        <w:p w:rsidR="12613FB8" w:rsidP="12613FB8" w:rsidRDefault="12613FB8" w14:paraId="48CED953" w14:textId="5D1DA6AE">
          <w:pPr>
            <w:pStyle w:val="Header"/>
            <w:jc w:val="center"/>
          </w:pPr>
        </w:p>
      </w:tc>
      <w:tc>
        <w:tcPr>
          <w:tcW w:w="3120" w:type="dxa"/>
        </w:tcPr>
        <w:p w:rsidR="12613FB8" w:rsidP="12613FB8" w:rsidRDefault="12613FB8" w14:paraId="74C8CB39" w14:textId="59EA4230">
          <w:pPr>
            <w:pStyle w:val="Header"/>
            <w:ind w:right="-115"/>
            <w:jc w:val="right"/>
          </w:pPr>
        </w:p>
      </w:tc>
    </w:tr>
  </w:tbl>
  <w:p w:rsidR="12613FB8" w:rsidP="12613FB8" w:rsidRDefault="12613FB8" w14:paraId="003345F4" w14:textId="717FEAA2">
    <w:pPr>
      <w:pStyle w:val="Header"/>
    </w:pPr>
  </w:p>
</w:hdr>
</file>

<file path=word/intelligence2.xml><?xml version="1.0" encoding="utf-8"?>
<int2:intelligence xmlns:int2="http://schemas.microsoft.com/office/intelligence/2020/intelligence" xmlns:oel="http://schemas.microsoft.com/office/2019/extlst">
  <int2:observations>
    <int2:textHash int2:hashCode="TbkkLctypRBxUh" int2:id="Dm0G3MZo">
      <int2:state int2:value="Rejected" int2:type="AugLoop_Text_Critique"/>
    </int2:textHash>
    <int2:textHash int2:hashCode="ZCkrHCsuE+rYeI" int2:id="qj0ySDNs">
      <int2:state int2:value="Rejected" int2:type="AugLoop_Text_Critique"/>
    </int2:textHash>
    <int2:textHash int2:hashCode="epctBzp0SS7CYh" int2:id="g8dhvOXE">
      <int2:state int2:value="Rejected" int2:type="AugLoop_Text_Critique"/>
    </int2:textHash>
    <int2:textHash int2:hashCode="JYyGRiF0mG4ANo" int2:id="GWZxBU3s">
      <int2:state int2:value="Rejected" int2:type="AugLoop_Text_Critique"/>
    </int2:textHash>
    <int2:textHash int2:hashCode="G72E+fmy/hmjYk" int2:id="s6X37q9X">
      <int2:state int2:value="Rejected" int2:type="AugLoop_Text_Critique"/>
    </int2:textHash>
    <int2:textHash int2:hashCode="9yM4zA25NwNKxw" int2:id="cUC9m02X">
      <int2:state int2:value="Rejected" int2:type="AugLoop_Text_Critique"/>
    </int2:textHash>
    <int2:textHash int2:hashCode="kx54UC8YBYF3bc" int2:id="sBRHpZ7e">
      <int2:state int2:value="Rejected" int2:type="AugLoop_Text_Critique"/>
    </int2:textHash>
    <int2:textHash int2:hashCode="EQF25Szb4s6dL1" int2:id="e7Du5zJl">
      <int2:state int2:value="Rejected" int2:type="AugLoop_Text_Critique"/>
    </int2:textHash>
    <int2:textHash int2:hashCode="mSa/VDMx9GUJqr" int2:id="JjrKguI8">
      <int2:state int2:value="Rejected" int2:type="AugLoop_Text_Critique"/>
    </int2:textHash>
    <int2:textHash int2:hashCode="k88JT7+nQoOK26" int2:id="29bwFJjn">
      <int2:state int2:value="Rejected" int2:type="AugLoop_Text_Critique"/>
    </int2:textHash>
    <int2:textHash int2:hashCode="PN5NJ857+HOzva" int2:id="P709HGvl">
      <int2:state int2:value="Rejected" int2:type="AugLoop_Text_Critique"/>
    </int2:textHash>
    <int2:textHash int2:hashCode="iaPLu+7hnBef0P" int2:id="x6gAzoiH">
      <int2:state int2:value="Rejected" int2:type="AugLoop_Text_Critique"/>
    </int2:textHash>
    <int2:bookmark int2:bookmarkName="_Int_7X1WZwSk" int2:invalidationBookmarkName="" int2:hashCode="YAzNG3FWkjLQHR" int2:id="3eBg6yLl">
      <int2:state int2:value="Rejected" int2:type="AugLoop_Text_Critique"/>
    </int2:bookmark>
    <int2:bookmark int2:bookmarkName="_Int_nmYPrZo0" int2:invalidationBookmarkName="" int2:hashCode="Tx6k8J2yqq+wqS" int2:id="Nef5QWSd">
      <int2:state int2:value="Rejected" int2:type="AugLoop_Text_Critique"/>
    </int2:bookmark>
    <int2:bookmark int2:bookmarkName="_Int_LU8wL3gy" int2:invalidationBookmarkName="" int2:hashCode="b6EfspaoKK2+bY" int2:id="bgheEX3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8FDF1"/>
    <w:multiLevelType w:val="hybridMultilevel"/>
    <w:tmpl w:val="36F48D32"/>
    <w:lvl w:ilvl="0" w:tplc="338E1DD8">
      <w:start w:val="1"/>
      <w:numFmt w:val="bullet"/>
      <w:lvlText w:val=""/>
      <w:lvlJc w:val="left"/>
      <w:pPr>
        <w:ind w:left="720" w:hanging="360"/>
      </w:pPr>
      <w:rPr>
        <w:rFonts w:hint="default" w:ascii="Symbol" w:hAnsi="Symbol"/>
      </w:rPr>
    </w:lvl>
    <w:lvl w:ilvl="1" w:tplc="3BA6AA52">
      <w:start w:val="1"/>
      <w:numFmt w:val="bullet"/>
      <w:lvlText w:val="o"/>
      <w:lvlJc w:val="left"/>
      <w:pPr>
        <w:ind w:left="1440" w:hanging="360"/>
      </w:pPr>
      <w:rPr>
        <w:rFonts w:hint="default" w:ascii="Courier New" w:hAnsi="Courier New"/>
      </w:rPr>
    </w:lvl>
    <w:lvl w:ilvl="2" w:tplc="BABEB948">
      <w:start w:val="1"/>
      <w:numFmt w:val="bullet"/>
      <w:lvlText w:val=""/>
      <w:lvlJc w:val="left"/>
      <w:pPr>
        <w:ind w:left="2160" w:hanging="360"/>
      </w:pPr>
      <w:rPr>
        <w:rFonts w:hint="default" w:ascii="Wingdings" w:hAnsi="Wingdings"/>
      </w:rPr>
    </w:lvl>
    <w:lvl w:ilvl="3" w:tplc="8AAA0278">
      <w:start w:val="1"/>
      <w:numFmt w:val="bullet"/>
      <w:lvlText w:val=""/>
      <w:lvlJc w:val="left"/>
      <w:pPr>
        <w:ind w:left="2880" w:hanging="360"/>
      </w:pPr>
      <w:rPr>
        <w:rFonts w:hint="default" w:ascii="Symbol" w:hAnsi="Symbol"/>
      </w:rPr>
    </w:lvl>
    <w:lvl w:ilvl="4" w:tplc="03C033C0">
      <w:start w:val="1"/>
      <w:numFmt w:val="bullet"/>
      <w:lvlText w:val="o"/>
      <w:lvlJc w:val="left"/>
      <w:pPr>
        <w:ind w:left="3600" w:hanging="360"/>
      </w:pPr>
      <w:rPr>
        <w:rFonts w:hint="default" w:ascii="Courier New" w:hAnsi="Courier New"/>
      </w:rPr>
    </w:lvl>
    <w:lvl w:ilvl="5" w:tplc="B5565588">
      <w:start w:val="1"/>
      <w:numFmt w:val="bullet"/>
      <w:lvlText w:val=""/>
      <w:lvlJc w:val="left"/>
      <w:pPr>
        <w:ind w:left="4320" w:hanging="360"/>
      </w:pPr>
      <w:rPr>
        <w:rFonts w:hint="default" w:ascii="Wingdings" w:hAnsi="Wingdings"/>
      </w:rPr>
    </w:lvl>
    <w:lvl w:ilvl="6" w:tplc="A34664D0">
      <w:start w:val="1"/>
      <w:numFmt w:val="bullet"/>
      <w:lvlText w:val=""/>
      <w:lvlJc w:val="left"/>
      <w:pPr>
        <w:ind w:left="5040" w:hanging="360"/>
      </w:pPr>
      <w:rPr>
        <w:rFonts w:hint="default" w:ascii="Symbol" w:hAnsi="Symbol"/>
      </w:rPr>
    </w:lvl>
    <w:lvl w:ilvl="7" w:tplc="E6A84FA6">
      <w:start w:val="1"/>
      <w:numFmt w:val="bullet"/>
      <w:lvlText w:val="o"/>
      <w:lvlJc w:val="left"/>
      <w:pPr>
        <w:ind w:left="5760" w:hanging="360"/>
      </w:pPr>
      <w:rPr>
        <w:rFonts w:hint="default" w:ascii="Courier New" w:hAnsi="Courier New"/>
      </w:rPr>
    </w:lvl>
    <w:lvl w:ilvl="8" w:tplc="E7B4947C">
      <w:start w:val="1"/>
      <w:numFmt w:val="bullet"/>
      <w:lvlText w:val=""/>
      <w:lvlJc w:val="left"/>
      <w:pPr>
        <w:ind w:left="6480" w:hanging="360"/>
      </w:pPr>
      <w:rPr>
        <w:rFonts w:hint="default" w:ascii="Wingdings" w:hAnsi="Wingdings"/>
      </w:rPr>
    </w:lvl>
  </w:abstractNum>
  <w:num w:numId="1" w16cid:durableId="204921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3F14A2"/>
    <w:rsid w:val="00696007"/>
    <w:rsid w:val="0084467D"/>
    <w:rsid w:val="00884EED"/>
    <w:rsid w:val="00CE76D2"/>
    <w:rsid w:val="08BA5D72"/>
    <w:rsid w:val="0BF1FE34"/>
    <w:rsid w:val="0F299EF6"/>
    <w:rsid w:val="101D61E9"/>
    <w:rsid w:val="12613FB8"/>
    <w:rsid w:val="1C100F84"/>
    <w:rsid w:val="222196D8"/>
    <w:rsid w:val="25E1978E"/>
    <w:rsid w:val="26BBFEA3"/>
    <w:rsid w:val="284D36A6"/>
    <w:rsid w:val="290DC633"/>
    <w:rsid w:val="2C69FB4D"/>
    <w:rsid w:val="2EB3CD0A"/>
    <w:rsid w:val="2EBDE92F"/>
    <w:rsid w:val="31D43F07"/>
    <w:rsid w:val="3695C988"/>
    <w:rsid w:val="382A582E"/>
    <w:rsid w:val="3DFD397F"/>
    <w:rsid w:val="3E9999B2"/>
    <w:rsid w:val="431F6887"/>
    <w:rsid w:val="436D0AD5"/>
    <w:rsid w:val="453F14A2"/>
    <w:rsid w:val="46192BED"/>
    <w:rsid w:val="494D6748"/>
    <w:rsid w:val="499FA80C"/>
    <w:rsid w:val="4EB7AB02"/>
    <w:rsid w:val="4F4DB3C5"/>
    <w:rsid w:val="5311BB38"/>
    <w:rsid w:val="5B8E5066"/>
    <w:rsid w:val="5F9BB6F4"/>
    <w:rsid w:val="66F21BD7"/>
    <w:rsid w:val="67B2AB64"/>
    <w:rsid w:val="6912A75B"/>
    <w:rsid w:val="6C7ECADA"/>
    <w:rsid w:val="6FA564CF"/>
    <w:rsid w:val="75F12A63"/>
    <w:rsid w:val="7928C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14A2"/>
  <w15:chartTrackingRefBased/>
  <w15:docId w15:val="{70C77B97-C601-46AC-AEDD-DFCEE794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i-provider" w:customStyle="1">
    <w:name w:val="ui-provider"/>
    <w:basedOn w:val="DefaultParagraphFont"/>
    <w:rsid w:val="0088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zurich.com.mx/es-mx/blog/art/2022/03/economia-circular"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publications.iadb.org/en/plastic-waste-management-and-leakage-latin-america-and-caribbea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nep.org/interactives/beat-plastic-pollution/" TargetMode="External" Id="rId11" /><Relationship Type="http://schemas.openxmlformats.org/officeDocument/2006/relationships/styles" Target="styles.xml" Id="rId5" /><Relationship Type="http://schemas.openxmlformats.org/officeDocument/2006/relationships/hyperlink" Target="https://www.zurich.com.mx/es-mx" TargetMode="Externa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zurich.com.mx/es-mx/blog/art/2022/03/economia-circular" TargetMode="External" Id="rId14" /><Relationship Type="http://schemas.microsoft.com/office/2020/10/relationships/intelligence" Target="intelligence2.xml" Id="rId22" /><Relationship Type="http://schemas.openxmlformats.org/officeDocument/2006/relationships/hyperlink" Target="https://www.zurich.com.mx/es-mx/blog/art/2024/01/reporte-global-de-riesgos-2024" TargetMode="External" Id="R3aded558ce84473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7bb8b8-49ce-4cf5-9d69-d7e15f4c37c3" xsi:nil="true"/>
    <lcf76f155ced4ddcb4097134ff3c332f xmlns="1cf0f527-834d-490e-a60d-b57434dc856c">
      <Terms xmlns="http://schemas.microsoft.com/office/infopath/2007/PartnerControls"/>
    </lcf76f155ced4ddcb4097134ff3c332f>
    <SharedWithUsers xmlns="cc7bb8b8-49ce-4cf5-9d69-d7e15f4c37c3">
      <UserInfo>
        <DisplayName>Paola Muñoz Estrada</DisplayName>
        <AccountId>25</AccountId>
        <AccountType/>
      </UserInfo>
      <UserInfo>
        <DisplayName>Elsa Villalba de la Vega</DisplayName>
        <AccountId>27</AccountId>
        <AccountType/>
      </UserInfo>
      <UserInfo>
        <DisplayName>Omar Ortega Jaime</DisplayName>
        <AccountId>55</AccountId>
        <AccountType/>
      </UserInfo>
      <UserInfo>
        <DisplayName>Guadalupe Rosario Robiou Vivero</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BF68F-ADF9-4B70-A988-9C6EAB32EB52}"/>
</file>

<file path=customXml/itemProps2.xml><?xml version="1.0" encoding="utf-8"?>
<ds:datastoreItem xmlns:ds="http://schemas.openxmlformats.org/officeDocument/2006/customXml" ds:itemID="{3786F9D6-F58C-4354-97FA-32D92885F08F}">
  <ds:schemaRefs>
    <ds:schemaRef ds:uri="http://schemas.microsoft.com/office/2006/metadata/properties"/>
    <ds:schemaRef ds:uri="http://schemas.microsoft.com/office/infopath/2007/PartnerControls"/>
    <ds:schemaRef ds:uri="cc7bb8b8-49ce-4cf5-9d69-d7e15f4c37c3"/>
    <ds:schemaRef ds:uri="1cf0f527-834d-490e-a60d-b57434dc856c"/>
  </ds:schemaRefs>
</ds:datastoreItem>
</file>

<file path=customXml/itemProps3.xml><?xml version="1.0" encoding="utf-8"?>
<ds:datastoreItem xmlns:ds="http://schemas.openxmlformats.org/officeDocument/2006/customXml" ds:itemID="{4665CA74-23D3-413C-B6F6-670E91EA96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Ortega Jaime</dc:creator>
  <cp:keywords/>
  <dc:description/>
  <cp:lastModifiedBy>Guadalupe Rosario Robiou Vivero</cp:lastModifiedBy>
  <cp:revision>4</cp:revision>
  <dcterms:created xsi:type="dcterms:W3CDTF">2024-03-07T15:15:00Z</dcterms:created>
  <dcterms:modified xsi:type="dcterms:W3CDTF">2024-03-14T20:06:42Z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 USE ONLY</vt:lpwstr>
  </property>
  <property fmtid="{D5CDD505-2E9C-101B-9397-08002B2CF9AE}" pid="7" name="MSIP_Label_9108d454-5c13-4905-93be-12ec8059c842_Enabled">
    <vt:lpwstr>true</vt:lpwstr>
  </property>
  <property fmtid="{D5CDD505-2E9C-101B-9397-08002B2CF9AE}" pid="8" name="MSIP_Label_9108d454-5c13-4905-93be-12ec8059c842_SetDate">
    <vt:lpwstr>2024-03-07T15:15:38Z</vt:lpwstr>
  </property>
  <property fmtid="{D5CDD505-2E9C-101B-9397-08002B2CF9AE}" pid="9" name="MSIP_Label_9108d454-5c13-4905-93be-12ec8059c842_Method">
    <vt:lpwstr>Privileged</vt:lpwstr>
  </property>
  <property fmtid="{D5CDD505-2E9C-101B-9397-08002B2CF9AE}" pid="10" name="MSIP_Label_9108d454-5c13-4905-93be-12ec8059c842_Name">
    <vt:lpwstr>9108d454-5c13-4905-93be-12ec8059c842</vt:lpwstr>
  </property>
  <property fmtid="{D5CDD505-2E9C-101B-9397-08002B2CF9AE}" pid="11" name="MSIP_Label_9108d454-5c13-4905-93be-12ec8059c842_SiteId">
    <vt:lpwstr>473672ba-cd07-4371-a2ae-788b4c61840e</vt:lpwstr>
  </property>
  <property fmtid="{D5CDD505-2E9C-101B-9397-08002B2CF9AE}" pid="12" name="MSIP_Label_9108d454-5c13-4905-93be-12ec8059c842_ActionId">
    <vt:lpwstr>99c32cc8-b63a-430a-a2df-d9dd82c83e72</vt:lpwstr>
  </property>
  <property fmtid="{D5CDD505-2E9C-101B-9397-08002B2CF9AE}" pid="13" name="MSIP_Label_9108d454-5c13-4905-93be-12ec8059c842_ContentBits">
    <vt:lpwstr>2</vt:lpwstr>
  </property>
</Properties>
</file>